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苏园教批准〔2021〕75号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关于同意苏州工业园区美乐书培训中心变更行政许可的批复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苏州工业园区美乐书培训中心：</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法人、校长变更的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决定准予变更，并明确以下事项：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苏州工业园区美乐书培训中心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23205A270000148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rPr>
        <w:t>万元；举办者：</w:t>
      </w:r>
      <w:r>
        <w:rPr>
          <w:rFonts w:ascii="Times New Roman" w:eastAsia="仿宋"/>
          <w:sz w:val="32"/>
          <w:szCs w:val="36"/>
        </w:rPr>
        <w:t>苏州美乐树教育投资发展有限公司</w:t>
      </w:r>
      <w:r>
        <w:rPr>
          <w:rFonts w:hint="eastAsia" w:ascii="Times New Roman" w:eastAsia="仿宋"/>
          <w:sz w:val="32"/>
          <w:szCs w:val="36"/>
        </w:rPr>
        <w:t>；办学地址：</w:t>
      </w:r>
      <w:r>
        <w:rPr>
          <w:rFonts w:ascii="Times New Roman" w:eastAsia="仿宋"/>
          <w:sz w:val="32"/>
          <w:szCs w:val="36"/>
        </w:rPr>
        <w:t>苏州工业园区东沙湖路129号103、104、105、107</w:t>
      </w:r>
      <w:r>
        <w:rPr>
          <w:rFonts w:hint="eastAsia" w:ascii="Times New Roman" w:eastAsia="仿宋"/>
          <w:sz w:val="32"/>
          <w:szCs w:val="36"/>
          <w:lang w:val="en-US" w:eastAsia="zh-CN"/>
        </w:rPr>
        <w:t>室</w:t>
      </w:r>
      <w:bookmarkStart w:id="0" w:name="_GoBack"/>
      <w:bookmarkEnd w:id="0"/>
      <w:r>
        <w:rPr>
          <w:rFonts w:hint="eastAsia" w:ascii="Times New Roman" w:eastAsia="仿宋"/>
          <w:sz w:val="32"/>
          <w:szCs w:val="36"/>
        </w:rPr>
        <w:t>；法定代表人：</w:t>
      </w:r>
      <w:r>
        <w:rPr>
          <w:rFonts w:ascii="Times New Roman" w:eastAsia="仿宋"/>
          <w:sz w:val="32"/>
          <w:szCs w:val="36"/>
        </w:rPr>
        <w:t>刘佳</w:t>
      </w:r>
      <w:r>
        <w:rPr>
          <w:rFonts w:hint="eastAsia" w:ascii="Times New Roman" w:eastAsia="仿宋"/>
          <w:sz w:val="32"/>
          <w:szCs w:val="36"/>
        </w:rPr>
        <w:t>；负责人（校长）：</w:t>
      </w:r>
      <w:r>
        <w:rPr>
          <w:rFonts w:ascii="Times New Roman" w:eastAsia="仿宋"/>
          <w:sz w:val="32"/>
          <w:szCs w:val="36"/>
        </w:rPr>
        <w:t>王令</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刘佳、黄明蕾、张秋星、王令、孔凡娜</w:t>
      </w:r>
      <w:r>
        <w:rPr>
          <w:rFonts w:hint="eastAsia" w:ascii="Times New Roman" w:eastAsia="仿宋"/>
          <w:sz w:val="32"/>
          <w:szCs w:val="36"/>
        </w:rPr>
        <w:t>；办学内容：</w:t>
      </w:r>
      <w:r>
        <w:rPr>
          <w:rFonts w:ascii="Times New Roman" w:eastAsia="仿宋"/>
          <w:sz w:val="32"/>
          <w:szCs w:val="36"/>
        </w:rPr>
        <w:t>小学及初中英语课程辅导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后，及时到民政、</w:t>
      </w:r>
      <w:r>
        <w:rPr>
          <w:rFonts w:ascii="Times New Roman" w:eastAsia="仿宋"/>
          <w:sz w:val="32"/>
          <w:szCs w:val="32"/>
        </w:rPr>
        <w:t>税务、公安、银行等</w:t>
      </w:r>
      <w:r>
        <w:rPr>
          <w:rFonts w:hint="eastAsia" w:ascii="Times New Roman" w:eastAsia="仿宋"/>
          <w:sz w:val="32"/>
          <w:szCs w:val="32"/>
        </w:rPr>
        <w:t>等部门变更相关手续。</w:t>
      </w:r>
    </w:p>
    <w:p>
      <w:pPr>
        <w:spacing w:line="580" w:lineRule="exact"/>
        <w:ind w:firstLine="627" w:firstLineChars="196"/>
        <w:rPr>
          <w:rFonts w:hint="eastAsia" w:ascii="Times New Roman" w:eastAsia="仿宋"/>
          <w:sz w:val="32"/>
          <w:szCs w:val="36"/>
        </w:rPr>
      </w:pPr>
      <w:r>
        <w:rPr>
          <w:rFonts w:hint="eastAsia" w:ascii="Times New Roman" w:eastAsia="仿宋"/>
          <w:sz w:val="32"/>
          <w:szCs w:val="32"/>
        </w:rPr>
        <w:t>三、你单位应</w:t>
      </w:r>
      <w:r>
        <w:rPr>
          <w:rFonts w:ascii="Times New Roman" w:eastAsia="仿宋"/>
          <w:sz w:val="32"/>
          <w:szCs w:val="32"/>
        </w:rPr>
        <w:t>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tbl>
      <w:tblPr>
        <w:tblStyle w:val="3"/>
        <w:tblpPr w:leftFromText="180" w:rightFromText="180" w:vertAnchor="text" w:horzAnchor="page" w:tblpX="1885" w:tblpY="494"/>
        <w:tblOverlap w:val="never"/>
        <w:tblW w:w="0" w:type="auto"/>
        <w:tblInd w:w="0" w:type="dxa"/>
        <w:tblLayout w:type="autofit"/>
        <w:tblCellMar>
          <w:top w:w="0" w:type="dxa"/>
          <w:left w:w="108" w:type="dxa"/>
          <w:bottom w:w="0" w:type="dxa"/>
          <w:right w:w="108" w:type="dxa"/>
        </w:tblCellMar>
      </w:tblPr>
      <w:tblGrid>
        <w:gridCol w:w="8306"/>
      </w:tblGrid>
      <w:tr>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17922"/>
    <w:rsid w:val="56D9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2021-12-21T03:04:00Z</dcterms:created>
  <dc:creator>zhtao</dc:creator>
  <cp:lastModifiedBy>周涛</cp:lastModifiedBy>
  <dcterms:modified xsi:type="dcterms:W3CDTF">2021-12-29T08:53:34Z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52CA9E228945442E99B72FB3A0687F12</vt:lpwstr>
  </property>
</Properties>
</file>