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2" w:space="0" w:color="FF0000"/>
          <w:bottom w:val="single" w:sz="48" w:space="0" w:color="FF0000"/>
        </w:tblBorders>
        <w:tblLook w:val="04A0" w:firstRow="1" w:lastRow="0" w:firstColumn="1" w:lastColumn="0" w:noHBand="0" w:noVBand="1"/>
      </w:tblPr>
      <w:tblGrid>
        <w:gridCol w:w="8414"/>
      </w:tblGrid>
      <w:tr w:rsidR="008D66E4">
        <w:trPr>
          <w:trHeight w:val="306"/>
        </w:trPr>
        <w:tc>
          <w:tcPr>
            <w:tcW w:w="8959" w:type="dxa"/>
            <w:tcBorders>
              <w:top w:val="nil"/>
              <w:bottom w:val="nil"/>
            </w:tcBorders>
            <w:shd w:val="clear" w:color="auto" w:fill="auto"/>
          </w:tcPr>
          <w:p w:rsidR="008D66E4" w:rsidRDefault="008D66E4">
            <w:pPr>
              <w:spacing w:line="440" w:lineRule="exact"/>
              <w:rPr>
                <w:rFonts w:ascii="方正姚体" w:eastAsia="方正姚体"/>
                <w:color w:val="FF0000"/>
                <w:w w:val="80"/>
                <w:szCs w:val="21"/>
              </w:rPr>
            </w:pPr>
          </w:p>
        </w:tc>
      </w:tr>
      <w:tr w:rsidR="008D66E4">
        <w:trPr>
          <w:trHeight w:val="205"/>
        </w:trPr>
        <w:tc>
          <w:tcPr>
            <w:tcW w:w="8959" w:type="dxa"/>
            <w:tcBorders>
              <w:top w:val="nil"/>
            </w:tcBorders>
            <w:shd w:val="clear" w:color="auto" w:fill="auto"/>
          </w:tcPr>
          <w:p w:rsidR="008D66E4" w:rsidRDefault="008D66E4">
            <w:pPr>
              <w:spacing w:line="440" w:lineRule="exact"/>
              <w:rPr>
                <w:rFonts w:ascii="方正姚体" w:eastAsia="方正姚体"/>
                <w:color w:val="FF0000"/>
                <w:w w:val="80"/>
                <w:sz w:val="32"/>
                <w:szCs w:val="32"/>
              </w:rPr>
            </w:pPr>
          </w:p>
        </w:tc>
      </w:tr>
      <w:tr w:rsidR="008D66E4">
        <w:tc>
          <w:tcPr>
            <w:tcW w:w="8959" w:type="dxa"/>
            <w:shd w:val="clear" w:color="auto" w:fill="auto"/>
          </w:tcPr>
          <w:p w:rsidR="008D66E4" w:rsidRDefault="00CD7FD2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bookmarkStart w:id="0" w:name="红头单位名称"/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</w:t>
            </w:r>
            <w:bookmarkEnd w:id="0"/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文件</w:t>
            </w:r>
          </w:p>
        </w:tc>
      </w:tr>
      <w:tr w:rsidR="008D66E4">
        <w:tc>
          <w:tcPr>
            <w:tcW w:w="8959" w:type="dxa"/>
            <w:tcBorders>
              <w:bottom w:val="nil"/>
            </w:tcBorders>
            <w:shd w:val="clear" w:color="auto" w:fill="auto"/>
          </w:tcPr>
          <w:p w:rsidR="008D66E4" w:rsidRDefault="008D66E4">
            <w:pPr>
              <w:spacing w:line="560" w:lineRule="atLeast"/>
              <w:rPr>
                <w:rFonts w:ascii="仿宋_GB2312" w:eastAsia="仿宋_GB2312"/>
                <w:color w:val="FF0000"/>
                <w:w w:val="80"/>
                <w:sz w:val="32"/>
                <w:szCs w:val="32"/>
              </w:rPr>
            </w:pPr>
          </w:p>
          <w:p w:rsidR="008D66E4" w:rsidRDefault="008D66E4">
            <w:pPr>
              <w:spacing w:line="560" w:lineRule="atLeast"/>
              <w:rPr>
                <w:rFonts w:ascii="仿宋_GB2312" w:eastAsia="仿宋_GB2312"/>
                <w:color w:val="FF0000"/>
                <w:w w:val="80"/>
                <w:sz w:val="32"/>
                <w:szCs w:val="32"/>
              </w:rPr>
            </w:pPr>
          </w:p>
        </w:tc>
      </w:tr>
      <w:tr w:rsidR="008D66E4">
        <w:tc>
          <w:tcPr>
            <w:tcW w:w="8959" w:type="dxa"/>
            <w:tcBorders>
              <w:top w:val="nil"/>
              <w:bottom w:val="single" w:sz="18" w:space="0" w:color="FF0000"/>
            </w:tcBorders>
            <w:shd w:val="clear" w:color="auto" w:fill="auto"/>
          </w:tcPr>
          <w:p w:rsidR="008D66E4" w:rsidRDefault="00CD7FD2">
            <w:pPr>
              <w:spacing w:afterLines="50" w:after="156" w:line="560" w:lineRule="atLeast"/>
              <w:jc w:val="center"/>
              <w:rPr>
                <w:rFonts w:eastAsia="仿宋_GB2312"/>
                <w:sz w:val="32"/>
                <w:szCs w:val="32"/>
              </w:rPr>
            </w:pPr>
            <w:bookmarkStart w:id="1" w:name="文号"/>
            <w:proofErr w:type="gramStart"/>
            <w:r>
              <w:rPr>
                <w:rFonts w:eastAsia="仿宋_GB2312" w:hint="eastAsia"/>
                <w:sz w:val="32"/>
                <w:szCs w:val="32"/>
              </w:rPr>
              <w:t>苏园教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〔</w:t>
            </w:r>
            <w:r>
              <w:rPr>
                <w:rFonts w:eastAsia="仿宋_GB2312" w:hint="eastAsia"/>
                <w:sz w:val="32"/>
                <w:szCs w:val="32"/>
              </w:rPr>
              <w:t>2022</w:t>
            </w:r>
            <w:r>
              <w:rPr>
                <w:rFonts w:eastAsia="仿宋_GB2312" w:hint="eastAsia"/>
                <w:sz w:val="32"/>
                <w:szCs w:val="32"/>
              </w:rPr>
              <w:t>〕</w:t>
            </w:r>
            <w:r>
              <w:rPr>
                <w:rFonts w:eastAsia="仿宋_GB2312"/>
                <w:sz w:val="32"/>
                <w:szCs w:val="32"/>
              </w:rPr>
              <w:t>14</w:t>
            </w:r>
            <w:r>
              <w:rPr>
                <w:rFonts w:eastAsia="仿宋_GB2312" w:hint="eastAsia"/>
                <w:sz w:val="32"/>
                <w:szCs w:val="32"/>
              </w:rPr>
              <w:t>号</w:t>
            </w:r>
            <w:bookmarkEnd w:id="1"/>
          </w:p>
        </w:tc>
      </w:tr>
    </w:tbl>
    <w:p w:rsidR="008D66E4" w:rsidRDefault="008D66E4">
      <w:pPr>
        <w:rPr>
          <w:rFonts w:ascii="仿宋_GB2312" w:eastAsia="仿宋_GB2312"/>
          <w:sz w:val="32"/>
          <w:szCs w:val="32"/>
        </w:rPr>
      </w:pPr>
    </w:p>
    <w:p w:rsidR="008D66E4" w:rsidRDefault="00CD7FD2">
      <w:pPr>
        <w:spacing w:line="60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>
        <w:rPr>
          <w:rFonts w:ascii="Times New Roman" w:eastAsia="华文中宋" w:hAnsi="Times New Roman"/>
          <w:b/>
          <w:bCs/>
          <w:sz w:val="44"/>
          <w:szCs w:val="44"/>
        </w:rPr>
        <w:t>园区教育局关于印发</w:t>
      </w:r>
    </w:p>
    <w:p w:rsidR="008D66E4" w:rsidRDefault="00CD7FD2">
      <w:pPr>
        <w:spacing w:line="60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>
        <w:rPr>
          <w:rFonts w:ascii="Times New Roman" w:eastAsia="华文中宋" w:hAnsi="Times New Roman"/>
          <w:b/>
          <w:bCs/>
          <w:sz w:val="44"/>
          <w:szCs w:val="44"/>
        </w:rPr>
        <w:t>《苏州工业园区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“四有”好教师团队建设</w:t>
      </w:r>
      <w:r>
        <w:rPr>
          <w:rFonts w:ascii="Times New Roman" w:eastAsia="华文中宋" w:hAnsi="Times New Roman"/>
          <w:b/>
          <w:bCs/>
          <w:sz w:val="44"/>
          <w:szCs w:val="44"/>
        </w:rPr>
        <w:t>实施方案》的通知</w:t>
      </w:r>
    </w:p>
    <w:p w:rsidR="008D66E4" w:rsidRDefault="008D66E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D66E4" w:rsidRDefault="00CD7FD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教师发展中心、青少年活动中心、各学校：</w:t>
      </w:r>
    </w:p>
    <w:p w:rsidR="008D66E4" w:rsidRDefault="00CD7FD2">
      <w:pPr>
        <w:spacing w:line="600" w:lineRule="exact"/>
        <w:ind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现将《苏州工业园区“四有”好教师团队建设实施方案》</w:t>
      </w:r>
      <w:r>
        <w:rPr>
          <w:rFonts w:ascii="仿宋_GB2312" w:eastAsia="仿宋_GB2312" w:hAnsi="微软雅黑" w:cs="微软雅黑" w:hint="eastAsia"/>
          <w:sz w:val="32"/>
          <w:szCs w:val="32"/>
        </w:rPr>
        <w:t>印</w:t>
      </w:r>
      <w:r>
        <w:rPr>
          <w:rFonts w:ascii="仿宋_GB2312" w:eastAsia="仿宋_GB2312" w:hAnsi="___WRD_EMBED_SUB_39" w:cs="___WRD_EMBED_SUB_39" w:hint="eastAsia"/>
          <w:sz w:val="32"/>
          <w:szCs w:val="32"/>
        </w:rPr>
        <w:t>发给</w:t>
      </w:r>
      <w:r>
        <w:rPr>
          <w:rFonts w:ascii="仿宋_GB2312" w:eastAsia="仿宋_GB2312" w:hAnsi="微软雅黑" w:cs="微软雅黑" w:hint="eastAsia"/>
          <w:sz w:val="32"/>
          <w:szCs w:val="32"/>
        </w:rPr>
        <w:t>你们</w:t>
      </w:r>
      <w:r>
        <w:rPr>
          <w:rFonts w:ascii="仿宋_GB2312" w:eastAsia="仿宋_GB2312" w:hAnsi="___WRD_EMBED_SUB_39" w:cs="___WRD_EMBED_SUB_39" w:hint="eastAsia"/>
          <w:sz w:val="32"/>
          <w:szCs w:val="32"/>
        </w:rPr>
        <w:t>，</w:t>
      </w:r>
      <w:r>
        <w:rPr>
          <w:rFonts w:ascii="仿宋_GB2312" w:eastAsia="仿宋_GB2312" w:hAnsi="微软雅黑" w:cs="微软雅黑" w:hint="eastAsia"/>
          <w:sz w:val="32"/>
          <w:szCs w:val="32"/>
        </w:rPr>
        <w:t>请</w:t>
      </w:r>
      <w:r>
        <w:rPr>
          <w:rFonts w:ascii="仿宋_GB2312" w:eastAsia="仿宋_GB2312" w:hAnsi="___WRD_EMBED_SUB_39" w:cs="___WRD_EMBED_SUB_39" w:hint="eastAsia"/>
          <w:sz w:val="32"/>
          <w:szCs w:val="32"/>
        </w:rPr>
        <w:t>结合实际，</w:t>
      </w:r>
      <w:r>
        <w:rPr>
          <w:rFonts w:ascii="仿宋_GB2312" w:eastAsia="仿宋_GB2312" w:hAnsi="微软雅黑" w:cs="微软雅黑" w:hint="eastAsia"/>
          <w:sz w:val="32"/>
          <w:szCs w:val="32"/>
        </w:rPr>
        <w:t>认真</w:t>
      </w:r>
      <w:r>
        <w:rPr>
          <w:rFonts w:ascii="仿宋_GB2312" w:eastAsia="仿宋_GB2312" w:hAnsi="___WRD_EMBED_SUB_39" w:cs="___WRD_EMBED_SUB_39" w:hint="eastAsia"/>
          <w:sz w:val="32"/>
          <w:szCs w:val="32"/>
        </w:rPr>
        <w:t>贯彻落实。</w:t>
      </w:r>
    </w:p>
    <w:p w:rsidR="008D66E4" w:rsidRDefault="008D66E4">
      <w:pPr>
        <w:spacing w:line="600" w:lineRule="exact"/>
        <w:ind w:firstLine="630"/>
        <w:rPr>
          <w:rFonts w:ascii="仿宋_GB2312" w:eastAsia="仿宋_GB2312" w:hAnsi="Times New Roman"/>
          <w:sz w:val="32"/>
          <w:szCs w:val="32"/>
        </w:rPr>
      </w:pPr>
    </w:p>
    <w:p w:rsidR="008D66E4" w:rsidRDefault="008D66E4">
      <w:pPr>
        <w:spacing w:line="600" w:lineRule="exact"/>
        <w:ind w:firstLine="630"/>
        <w:rPr>
          <w:rFonts w:ascii="仿宋_GB2312" w:eastAsia="仿宋_GB2312" w:hAnsi="Times New Roman"/>
          <w:sz w:val="32"/>
          <w:szCs w:val="32"/>
        </w:rPr>
      </w:pPr>
    </w:p>
    <w:p w:rsidR="008D66E4" w:rsidRDefault="008D66E4">
      <w:pPr>
        <w:spacing w:line="600" w:lineRule="exact"/>
        <w:ind w:firstLine="630"/>
        <w:rPr>
          <w:rFonts w:ascii="仿宋_GB2312" w:eastAsia="仿宋_GB2312" w:hAnsi="Times New Roman"/>
          <w:sz w:val="32"/>
          <w:szCs w:val="32"/>
        </w:rPr>
      </w:pPr>
    </w:p>
    <w:p w:rsidR="008D66E4" w:rsidRDefault="00CD7FD2">
      <w:pPr>
        <w:tabs>
          <w:tab w:val="left" w:pos="2884"/>
        </w:tabs>
        <w:spacing w:line="600" w:lineRule="exact"/>
        <w:ind w:right="404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苏州工业园区教育局</w:t>
      </w:r>
    </w:p>
    <w:p w:rsidR="008D66E4" w:rsidRDefault="00CD7FD2">
      <w:pPr>
        <w:spacing w:line="600" w:lineRule="exact"/>
        <w:ind w:right="404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2022年</w:t>
      </w: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微软雅黑" w:cs="微软雅黑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13</w:t>
      </w:r>
      <w:r>
        <w:rPr>
          <w:rFonts w:ascii="仿宋_GB2312" w:eastAsia="仿宋_GB2312" w:hAnsi="微软雅黑" w:cs="微软雅黑" w:hint="eastAsia"/>
          <w:sz w:val="32"/>
          <w:szCs w:val="32"/>
        </w:rPr>
        <w:t>日</w:t>
      </w:r>
    </w:p>
    <w:p w:rsidR="008D66E4" w:rsidRDefault="008D66E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D66E4" w:rsidRDefault="008D66E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D66E4" w:rsidRDefault="008D66E4">
      <w:pPr>
        <w:spacing w:line="60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</w:p>
    <w:p w:rsidR="008D66E4" w:rsidRDefault="00CD7FD2">
      <w:pPr>
        <w:spacing w:line="6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Times New Roman" w:eastAsia="华文中宋" w:hAnsi="Times New Roman"/>
          <w:b/>
          <w:bCs/>
          <w:sz w:val="44"/>
          <w:szCs w:val="44"/>
        </w:rPr>
        <w:t>苏州工业园区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“四有”好教师团队建设</w:t>
      </w:r>
    </w:p>
    <w:p w:rsidR="008D66E4" w:rsidRDefault="00CD7FD2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华文中宋" w:hAnsi="Times New Roman"/>
          <w:b/>
          <w:bCs/>
          <w:sz w:val="44"/>
          <w:szCs w:val="44"/>
        </w:rPr>
        <w:t>实施方案</w:t>
      </w:r>
      <w:r>
        <w:rPr>
          <w:rFonts w:ascii="Times New Roman" w:eastAsia="华文中宋" w:hAnsi="Times New Roman" w:hint="eastAsia"/>
          <w:b/>
          <w:bCs/>
          <w:sz w:val="44"/>
          <w:szCs w:val="44"/>
        </w:rPr>
        <w:t>（试行）</w:t>
      </w:r>
    </w:p>
    <w:p w:rsidR="008D66E4" w:rsidRDefault="008D66E4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深入贯彻习近平总书记关于做“四有”好教师、做学生引路人等指示精神，落实教育部等八部门《新时代基础教育强师计划》精神及《苏州工业园区教育系统“五育融合幸福年”实施方案》中“培育孵化‘四有’好教师团队”的相关要求，根据《省教育厅办公室关于启动“四有”好教师团队建设的通知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苏教师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办〔2019〕2号），现制定《苏州工业园区“四有”好教师团队建设实施方案》。</w:t>
      </w:r>
    </w:p>
    <w:p w:rsidR="008D66E4" w:rsidRDefault="00CD7FD2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一、建设目标</w:t>
      </w:r>
    </w:p>
    <w:p w:rsidR="00845991" w:rsidRPr="003B6F45" w:rsidRDefault="00CD7FD2" w:rsidP="00845991">
      <w:pPr>
        <w:spacing w:line="560" w:lineRule="exact"/>
        <w:ind w:firstLine="640"/>
        <w:rPr>
          <w:rFonts w:ascii="仿宋_GB2312" w:eastAsia="仿宋_GB2312" w:hAnsi="宋体" w:hint="eastAsia"/>
          <w:sz w:val="32"/>
          <w:szCs w:val="32"/>
        </w:rPr>
      </w:pPr>
      <w:r w:rsidRPr="003B6F45">
        <w:rPr>
          <w:rFonts w:ascii="仿宋_GB2312" w:eastAsia="仿宋_GB2312" w:hAnsi="宋体" w:hint="eastAsia"/>
          <w:sz w:val="32"/>
          <w:szCs w:val="32"/>
        </w:rPr>
        <w:t>“四有”好教师团队</w:t>
      </w:r>
      <w:r w:rsidR="00845991" w:rsidRPr="003B6F45">
        <w:rPr>
          <w:rFonts w:ascii="仿宋_GB2312" w:eastAsia="仿宋_GB2312" w:hAnsi="宋体" w:hint="eastAsia"/>
          <w:sz w:val="32"/>
          <w:szCs w:val="32"/>
        </w:rPr>
        <w:t>以</w:t>
      </w:r>
      <w:r w:rsidRPr="003B6F45">
        <w:rPr>
          <w:rFonts w:ascii="仿宋_GB2312" w:eastAsia="仿宋_GB2312" w:hAnsi="宋体" w:hint="eastAsia"/>
          <w:sz w:val="32"/>
          <w:szCs w:val="32"/>
        </w:rPr>
        <w:t>建设</w:t>
      </w:r>
      <w:r w:rsidR="00845991" w:rsidRPr="003B6F45">
        <w:rPr>
          <w:rFonts w:ascii="仿宋_GB2312" w:eastAsia="仿宋_GB2312" w:hAnsi="宋体" w:hint="eastAsia"/>
          <w:sz w:val="32"/>
          <w:szCs w:val="32"/>
        </w:rPr>
        <w:t>高素质专业化创新型教师队伍</w:t>
      </w:r>
      <w:r w:rsidR="00845991" w:rsidRPr="003B6F45">
        <w:rPr>
          <w:rFonts w:ascii="仿宋_GB2312" w:eastAsia="仿宋_GB2312" w:hAnsi="宋体" w:hint="eastAsia"/>
          <w:sz w:val="32"/>
          <w:szCs w:val="32"/>
        </w:rPr>
        <w:t>为</w:t>
      </w:r>
      <w:r w:rsidR="00845991" w:rsidRPr="003B6F45">
        <w:rPr>
          <w:rFonts w:ascii="仿宋_GB2312" w:eastAsia="仿宋_GB2312" w:hAnsi="宋体" w:hint="eastAsia"/>
          <w:sz w:val="32"/>
          <w:szCs w:val="32"/>
        </w:rPr>
        <w:t>目标，引导广大教师做有理想信念、有道德情操、有扎实学识、有仁爱之心的好教师，自觉承担传播知识、传播思想、传播真理的历史使命，肩负塑造灵魂、塑造生命、塑造新人的时代重任，做学生锤炼品格、学习知识、创新思维、奉献祖国的引路人</w:t>
      </w:r>
      <w:r w:rsidR="00845991" w:rsidRPr="003B6F45">
        <w:rPr>
          <w:rFonts w:ascii="仿宋_GB2312" w:eastAsia="仿宋_GB2312" w:hAnsi="宋体" w:hint="eastAsia"/>
          <w:sz w:val="32"/>
          <w:szCs w:val="32"/>
        </w:rPr>
        <w:t>。</w:t>
      </w:r>
    </w:p>
    <w:p w:rsidR="00845991" w:rsidRPr="003B6F45" w:rsidRDefault="00845991" w:rsidP="00845991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3B6F45">
        <w:rPr>
          <w:rFonts w:ascii="仿宋_GB2312" w:eastAsia="仿宋_GB2312" w:hAnsi="宋体" w:hint="eastAsia"/>
          <w:sz w:val="32"/>
          <w:szCs w:val="32"/>
        </w:rPr>
        <w:t>“四有”好教师团队建设要树牢“四个意识”，坚定“四个自信”，做到“两个维护”，树立“师德师风典范、教书育人示范、教研科研模范”的建设目标，坚持项目引领、坚持破解难题、方法创新、科研支撑，积极探索新时代立德树人新理念、育人模式新路径、</w:t>
      </w:r>
      <w:r w:rsidRPr="003B6F45">
        <w:rPr>
          <w:rFonts w:ascii="仿宋_GB2312" w:eastAsia="仿宋_GB2312" w:hAnsi="宋体" w:hint="eastAsia"/>
          <w:sz w:val="32"/>
          <w:szCs w:val="32"/>
        </w:rPr>
        <w:t>学科帮扶新举措和教师教育新突破, 使教书育人、立德树人真正落到实处。</w:t>
      </w:r>
    </w:p>
    <w:p w:rsidR="008D66E4" w:rsidRDefault="00CD7FD2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二、建设重点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（一）坚持师德为首。通过成员修身立德，形成优秀团队风范，努力将团队建设成为“学科育人的先锋、创新发展的榜样、团队引领的标兵”</w:t>
      </w:r>
      <w:r w:rsidR="008B7099">
        <w:rPr>
          <w:rFonts w:ascii="仿宋_GB2312" w:eastAsia="仿宋_GB2312" w:hAnsi="宋体" w:hint="eastAsia"/>
          <w:sz w:val="32"/>
          <w:szCs w:val="32"/>
        </w:rPr>
        <w:t>，</w:t>
      </w:r>
      <w:r w:rsidR="008B7099" w:rsidRPr="008B7099">
        <w:rPr>
          <w:rFonts w:ascii="仿宋_GB2312" w:eastAsia="仿宋_GB2312" w:hAnsi="宋体" w:hint="eastAsia"/>
          <w:sz w:val="32"/>
          <w:szCs w:val="32"/>
        </w:rPr>
        <w:t>以</w:t>
      </w:r>
      <w:r w:rsidR="008B7099">
        <w:rPr>
          <w:rFonts w:ascii="仿宋_GB2312" w:eastAsia="仿宋_GB2312" w:hAnsi="宋体" w:hint="eastAsia"/>
          <w:sz w:val="32"/>
          <w:szCs w:val="32"/>
        </w:rPr>
        <w:t>具有高尚道德情操的</w:t>
      </w:r>
      <w:r w:rsidR="008B7099" w:rsidRPr="008B7099">
        <w:rPr>
          <w:rFonts w:ascii="仿宋_GB2312" w:eastAsia="仿宋_GB2312" w:hAnsi="宋体" w:hint="eastAsia"/>
          <w:sz w:val="32"/>
          <w:szCs w:val="32"/>
        </w:rPr>
        <w:t>团队推动全校教师成为“先进思想文化的传播者，党执政的坚定支持者、学生健康成长的指导者”。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（二）探索综合育人。以综合建构推动立德树人，以五育融合促进教书育人。积极开展学科教学、学科育人、综合育人的深度探索，推进教育教学方式的变革。</w:t>
      </w:r>
      <w:r w:rsidR="00B66C46" w:rsidRPr="00B66C46">
        <w:rPr>
          <w:rFonts w:ascii="仿宋_GB2312" w:eastAsia="仿宋_GB2312" w:hAnsi="宋体" w:hint="eastAsia"/>
          <w:sz w:val="32"/>
          <w:szCs w:val="32"/>
        </w:rPr>
        <w:t>以先进理念、扎实学识、先进技术和前沿研究，探索、创新新时代中小学立德树人的“</w:t>
      </w:r>
      <w:r w:rsidR="00B66C46">
        <w:rPr>
          <w:rFonts w:ascii="仿宋_GB2312" w:eastAsia="仿宋_GB2312" w:hAnsi="宋体" w:hint="eastAsia"/>
          <w:sz w:val="32"/>
          <w:szCs w:val="32"/>
        </w:rPr>
        <w:t>园区</w:t>
      </w:r>
      <w:r w:rsidR="00B66C46" w:rsidRPr="00B66C46">
        <w:rPr>
          <w:rFonts w:ascii="仿宋_GB2312" w:eastAsia="仿宋_GB2312" w:hAnsi="宋体" w:hint="eastAsia"/>
          <w:sz w:val="32"/>
          <w:szCs w:val="32"/>
        </w:rPr>
        <w:t>经验”“</w:t>
      </w:r>
      <w:r w:rsidR="00B66C46">
        <w:rPr>
          <w:rFonts w:ascii="仿宋_GB2312" w:eastAsia="仿宋_GB2312" w:hAnsi="宋体" w:hint="eastAsia"/>
          <w:sz w:val="32"/>
          <w:szCs w:val="32"/>
        </w:rPr>
        <w:t>园区</w:t>
      </w:r>
      <w:r w:rsidR="00B66C46" w:rsidRPr="00B66C46">
        <w:rPr>
          <w:rFonts w:ascii="仿宋_GB2312" w:eastAsia="仿宋_GB2312" w:hAnsi="宋体" w:hint="eastAsia"/>
          <w:sz w:val="32"/>
          <w:szCs w:val="32"/>
        </w:rPr>
        <w:t>模式”。</w:t>
      </w:r>
    </w:p>
    <w:p w:rsidR="008D66E4" w:rsidRDefault="00CD7FD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（三）加强校际帮扶。通过校对校、教研组对教研组、年级组对年级组、人对人的精准帮扶</w:t>
      </w:r>
      <w:r w:rsidR="00B66C46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开展线下线上的共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共学，加强交流互动，实现结对学校或团队的项目建设、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育人成效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和办学质量整体提升。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（四）创新协同机制。以学校为建设主体，以高校、科研院所为学术支撑，以教师发展机构为纽带，搭建所在学校、高校和教师发展机构三位一体的合作平台，</w:t>
      </w:r>
      <w:r w:rsidR="00B66C46">
        <w:rPr>
          <w:rFonts w:ascii="仿宋_GB2312" w:eastAsia="仿宋_GB2312" w:hAnsi="宋体" w:hint="eastAsia"/>
          <w:sz w:val="32"/>
          <w:szCs w:val="32"/>
        </w:rPr>
        <w:t>通过</w:t>
      </w:r>
      <w:r w:rsidR="00B66C46" w:rsidRPr="00B66C46">
        <w:rPr>
          <w:rFonts w:ascii="仿宋_GB2312" w:eastAsia="仿宋_GB2312" w:hAnsi="宋体" w:hint="eastAsia"/>
          <w:sz w:val="32"/>
          <w:szCs w:val="32"/>
        </w:rPr>
        <w:t>基地互设、教师互派、发展互动、资源互享，有效促进高校师范培养模式的转变和中小学教师</w:t>
      </w:r>
      <w:r w:rsidR="000D6719">
        <w:rPr>
          <w:rFonts w:ascii="仿宋_GB2312" w:eastAsia="仿宋_GB2312" w:hAnsi="宋体" w:hint="eastAsia"/>
          <w:sz w:val="32"/>
          <w:szCs w:val="32"/>
        </w:rPr>
        <w:t>教育科研</w:t>
      </w:r>
      <w:r w:rsidR="00B66C46" w:rsidRPr="00B66C46">
        <w:rPr>
          <w:rFonts w:ascii="仿宋_GB2312" w:eastAsia="仿宋_GB2312" w:hAnsi="宋体" w:hint="eastAsia"/>
          <w:sz w:val="32"/>
          <w:szCs w:val="32"/>
        </w:rPr>
        <w:t>能力的提升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B66C46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（五）建设团队文化。凝练个性鲜明的立德树人、教书育人理念，回归育人根本，实现知行合一。在此基础上，注重实践效果，构建行之有效的育人模式，</w:t>
      </w:r>
      <w:r w:rsidR="00B66C46" w:rsidRPr="00B66C46">
        <w:rPr>
          <w:rFonts w:ascii="仿宋_GB2312" w:eastAsia="仿宋_GB2312" w:hAnsi="宋体" w:hint="eastAsia"/>
          <w:sz w:val="32"/>
          <w:szCs w:val="32"/>
        </w:rPr>
        <w:t>最终形成师生共长、和谐健康、充满活力、特色鲜明的团队育人文化。</w:t>
      </w:r>
      <w:bookmarkStart w:id="2" w:name="_GoBack"/>
      <w:bookmarkEnd w:id="2"/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（六）加强引领辐射。注重发展的前瞻性和引领的辐射性，通过先行、先试，形成从个人到团队、从团队到学校、从学校到区域的蝴蝶效应，引导和带动区域全体教师以德立身、以德立学、以德施教。</w:t>
      </w:r>
    </w:p>
    <w:p w:rsidR="008D66E4" w:rsidRDefault="00CD7FD2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三、组建要求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团队组建应做到人员跨科、结构跨层、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梯队跨龄和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区域跨校。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1.人员跨科。每个团队由10人以上组成，覆盖学校所有学科，每个学科至少要有一名优秀教师参加。原则上由同一所学校各学科教师组成，个别的也可以由多所学校不同学科教师组成。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2.结构跨层。主要由学校名师名校长领衔、中青年卓越教师为主体、优秀年轻教师参与的三部分人员组成。团队负责人要有较强的开拓创新意识、团队建设本领、组织协调能力和服务奉献精神。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3.梯队跨龄。形成合理年龄梯队，重视优秀年轻教师的培养与锻炼。通过各类项目建设，实现教师在使用、提升、培养和储备上的有机结合。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区域跨校。开发区学校与非开发区学校、直属学校与街道学校等，共建“四有”好教师团队，开展“1+1”结对帮扶，定点带动，同步提升。在考核各校“四有”好教师团队建设成效时，将这方面实质性的进展作为重要内容。</w:t>
      </w:r>
    </w:p>
    <w:p w:rsidR="008D66E4" w:rsidRDefault="00CD7FD2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四、考核办法</w:t>
      </w:r>
    </w:p>
    <w:p w:rsidR="008D66E4" w:rsidRDefault="00CD7FD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团队建设周期一般为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年。第一年末进行中期考核，考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核内容为是否按照方案开展“四有”好教师团队建设，已取得哪些成绩，存在哪些问题。教育局将对</w:t>
      </w:r>
      <w:r>
        <w:rPr>
          <w:rFonts w:ascii="仿宋_GB2312" w:eastAsia="仿宋_GB2312" w:hAnsi="宋体"/>
          <w:sz w:val="32"/>
          <w:szCs w:val="32"/>
        </w:rPr>
        <w:t>中期考核优秀的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四有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好教师团队给予一定形式的奖励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用于助推后期团队建设。第二年末进行期终考核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主要考核</w:t>
      </w:r>
      <w:r>
        <w:rPr>
          <w:rFonts w:ascii="仿宋_GB2312" w:eastAsia="仿宋_GB2312" w:hAnsi="宋体" w:hint="eastAsia"/>
          <w:sz w:val="32"/>
          <w:szCs w:val="32"/>
        </w:rPr>
        <w:t>团队学校的发展、团队文化的建设、教师培养难题破解、团队成员进步、团队建设成果等，发现典型、总结经验、辐射区域。终期考核</w:t>
      </w:r>
      <w:r>
        <w:rPr>
          <w:rFonts w:ascii="仿宋_GB2312" w:eastAsia="仿宋_GB2312" w:hAnsi="宋体"/>
          <w:sz w:val="32"/>
          <w:szCs w:val="32"/>
        </w:rPr>
        <w:t>优秀的团队将作为省、市级</w:t>
      </w:r>
      <w:r>
        <w:rPr>
          <w:rFonts w:ascii="仿宋_GB2312" w:eastAsia="仿宋_GB2312" w:hAnsi="宋体" w:hint="eastAsia"/>
          <w:sz w:val="32"/>
          <w:szCs w:val="32"/>
        </w:rPr>
        <w:t>“四有”好教师团队的</w:t>
      </w:r>
      <w:r>
        <w:rPr>
          <w:rFonts w:ascii="仿宋_GB2312" w:eastAsia="仿宋_GB2312" w:hAnsi="宋体"/>
          <w:sz w:val="32"/>
          <w:szCs w:val="32"/>
        </w:rPr>
        <w:t>重点</w:t>
      </w:r>
      <w:r>
        <w:rPr>
          <w:rFonts w:ascii="仿宋_GB2312" w:eastAsia="仿宋_GB2312" w:hAnsi="宋体" w:hint="eastAsia"/>
          <w:sz w:val="32"/>
          <w:szCs w:val="32"/>
        </w:rPr>
        <w:t>推荐</w:t>
      </w:r>
      <w:r>
        <w:rPr>
          <w:rFonts w:ascii="仿宋_GB2312" w:eastAsia="仿宋_GB2312" w:hAnsi="宋体"/>
          <w:sz w:val="32"/>
          <w:szCs w:val="32"/>
        </w:rPr>
        <w:t>对象。</w:t>
      </w:r>
    </w:p>
    <w:p w:rsidR="008D66E4" w:rsidRDefault="00CD7FD2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五、保障机制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组织协同。建设“四有”好教师团队，是推进我区中小学（幼儿园）高素质专业化创新型教师队伍建设的重要举措。学校是创建主体，要自觉、自主开展“四有”好教师团队创建行动，要充分利用好苏州市内特别是园区内相关高校、科研院所的支持。园区教育局、教师发展中心将配合做好指导和服务工作。</w:t>
      </w:r>
    </w:p>
    <w:p w:rsidR="008D66E4" w:rsidRDefault="00CD7FD2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（二）经费支持。各校要建立经费保障机制，在教师培训经费中划出专项经费用于保障“四有”好教师团队建设工作。</w:t>
      </w:r>
    </w:p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/>
    <w:p w:rsidR="008D66E4" w:rsidRDefault="008D66E4">
      <w:pPr>
        <w:spacing w:line="580" w:lineRule="exact"/>
        <w:ind w:rightChars="11" w:right="23"/>
        <w:jc w:val="left"/>
        <w:rPr>
          <w:rFonts w:eastAsia="仿宋_GB2312"/>
          <w:sz w:val="32"/>
          <w:szCs w:val="32"/>
        </w:rPr>
      </w:pPr>
    </w:p>
    <w:p w:rsidR="008D66E4" w:rsidRDefault="008D66E4">
      <w:pPr>
        <w:spacing w:line="580" w:lineRule="exact"/>
        <w:ind w:rightChars="11" w:right="23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8D66E4">
        <w:tc>
          <w:tcPr>
            <w:tcW w:w="91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D66E4" w:rsidRDefault="00CD7FD2">
            <w:pPr>
              <w:spacing w:line="400" w:lineRule="exact"/>
              <w:ind w:right="277"/>
              <w:rPr>
                <w:rFonts w:eastAsia="仿宋_GB2312"/>
                <w:sz w:val="32"/>
              </w:rPr>
            </w:pPr>
            <w:bookmarkStart w:id="3" w:name="发文单位"/>
            <w:r>
              <w:rPr>
                <w:rFonts w:eastAsia="仿宋_GB2312" w:hint="eastAsia"/>
                <w:sz w:val="32"/>
                <w:szCs w:val="32"/>
              </w:rPr>
              <w:t>苏州工业园区教育局</w:t>
            </w:r>
            <w:bookmarkEnd w:id="3"/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2022年5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</w:rPr>
              <w:t>日印</w:t>
            </w:r>
            <w:r>
              <w:rPr>
                <w:rFonts w:ascii="仿宋_GB2312" w:eastAsia="仿宋_GB2312" w:hAnsi="___WRD_EMBED_SUB_39" w:cs="___WRD_EMBED_SUB_39" w:hint="eastAsia"/>
                <w:sz w:val="32"/>
                <w:szCs w:val="32"/>
              </w:rPr>
              <w:t>发</w:t>
            </w:r>
          </w:p>
        </w:tc>
      </w:tr>
    </w:tbl>
    <w:p w:rsidR="008D66E4" w:rsidRDefault="008D66E4"/>
    <w:sectPr w:rsidR="008D66E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60F" w:rsidRDefault="002E360F">
      <w:r>
        <w:separator/>
      </w:r>
    </w:p>
  </w:endnote>
  <w:endnote w:type="continuationSeparator" w:id="0">
    <w:p w:rsidR="002E360F" w:rsidRDefault="002E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C44888C-AF45-43BD-A040-955345804FD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  <w:embedRegular r:id="rId2" w:subsetted="1" w:fontKey="{AD274E9F-8D28-419C-B10E-DE1AA7FE65D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EBDF6E4-254D-41F2-B106-07ADE46DF3F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4" w:subsetted="1" w:fontKey="{F46964BA-6C9F-48DC-B878-745A9284B5A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39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40C4CBF-BD21-4EB7-A80B-E312ECF812F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E4" w:rsidRDefault="00CD7F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66E4" w:rsidRDefault="00CD7FD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D671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D66E4" w:rsidRDefault="00CD7FD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D671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60F" w:rsidRDefault="002E360F">
      <w:r>
        <w:separator/>
      </w:r>
    </w:p>
  </w:footnote>
  <w:footnote w:type="continuationSeparator" w:id="0">
    <w:p w:rsidR="002E360F" w:rsidRDefault="002E3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E4" w:rsidRDefault="008D66E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zI3MThiYzkxOTVlYjc3MDFhMDRiYjk2ZjQ1NTMifQ=="/>
  </w:docVars>
  <w:rsids>
    <w:rsidRoot w:val="10BE1A77"/>
    <w:rsid w:val="000D6719"/>
    <w:rsid w:val="00172782"/>
    <w:rsid w:val="001735E2"/>
    <w:rsid w:val="00180A34"/>
    <w:rsid w:val="001856E8"/>
    <w:rsid w:val="001A3217"/>
    <w:rsid w:val="002E360F"/>
    <w:rsid w:val="002F3FD6"/>
    <w:rsid w:val="00350CAA"/>
    <w:rsid w:val="003B6F45"/>
    <w:rsid w:val="004F5E3E"/>
    <w:rsid w:val="00523CD8"/>
    <w:rsid w:val="006B4C00"/>
    <w:rsid w:val="006B530F"/>
    <w:rsid w:val="00750A83"/>
    <w:rsid w:val="00795088"/>
    <w:rsid w:val="007D0503"/>
    <w:rsid w:val="00845991"/>
    <w:rsid w:val="00853F35"/>
    <w:rsid w:val="008A7A52"/>
    <w:rsid w:val="008B7099"/>
    <w:rsid w:val="008D66E4"/>
    <w:rsid w:val="00926D61"/>
    <w:rsid w:val="009D5A1C"/>
    <w:rsid w:val="00A31BF4"/>
    <w:rsid w:val="00AE13B7"/>
    <w:rsid w:val="00B66C46"/>
    <w:rsid w:val="00B66D38"/>
    <w:rsid w:val="00BF659C"/>
    <w:rsid w:val="00C64491"/>
    <w:rsid w:val="00C71D67"/>
    <w:rsid w:val="00C90E59"/>
    <w:rsid w:val="00C9478B"/>
    <w:rsid w:val="00CD7FD2"/>
    <w:rsid w:val="00EC3BE7"/>
    <w:rsid w:val="00F071F8"/>
    <w:rsid w:val="00F41D20"/>
    <w:rsid w:val="00F84EF0"/>
    <w:rsid w:val="00FA6AF6"/>
    <w:rsid w:val="00FF3115"/>
    <w:rsid w:val="02A0659B"/>
    <w:rsid w:val="08CD43C5"/>
    <w:rsid w:val="09396971"/>
    <w:rsid w:val="10BE1A77"/>
    <w:rsid w:val="14994C38"/>
    <w:rsid w:val="17326502"/>
    <w:rsid w:val="253C0A50"/>
    <w:rsid w:val="2AEF61A5"/>
    <w:rsid w:val="2D90269C"/>
    <w:rsid w:val="382F749F"/>
    <w:rsid w:val="3B336AD0"/>
    <w:rsid w:val="3B402CE6"/>
    <w:rsid w:val="3C865EF2"/>
    <w:rsid w:val="3E9F50A4"/>
    <w:rsid w:val="4395204D"/>
    <w:rsid w:val="497F17F3"/>
    <w:rsid w:val="4ACB608C"/>
    <w:rsid w:val="4F6C10C4"/>
    <w:rsid w:val="4FAE29BF"/>
    <w:rsid w:val="53055164"/>
    <w:rsid w:val="577D3A36"/>
    <w:rsid w:val="5CD53F19"/>
    <w:rsid w:val="64E92E0E"/>
    <w:rsid w:val="666219D4"/>
    <w:rsid w:val="6A606CD1"/>
    <w:rsid w:val="711E4D19"/>
    <w:rsid w:val="76E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076301-978D-47CB-8F38-A99C96FC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0"/>
    <w:rsid w:val="00180A34"/>
    <w:rPr>
      <w:sz w:val="18"/>
      <w:szCs w:val="18"/>
    </w:rPr>
  </w:style>
  <w:style w:type="character" w:customStyle="1" w:styleId="Char0">
    <w:name w:val="批注框文本 Char"/>
    <w:basedOn w:val="a0"/>
    <w:link w:val="a7"/>
    <w:rsid w:val="00180A3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潘德顺</dc:creator>
  <cp:lastModifiedBy>教育局-陈燕</cp:lastModifiedBy>
  <cp:revision>31</cp:revision>
  <cp:lastPrinted>2022-05-13T03:18:00Z</cp:lastPrinted>
  <dcterms:created xsi:type="dcterms:W3CDTF">2022-05-11T08:55:00Z</dcterms:created>
  <dcterms:modified xsi:type="dcterms:W3CDTF">2022-05-18T02:01:00Z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8F10A33266B644E38B2543A609F628F0</vt:lpwstr>
  </property>
</Properties>
</file>